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54" w:rsidRPr="00AB7CC6" w:rsidRDefault="00C17754" w:rsidP="00C17754">
      <w:pPr>
        <w:pStyle w:val="a3"/>
        <w:shd w:val="clear" w:color="auto" w:fill="FFFFFF"/>
        <w:spacing w:line="353" w:lineRule="atLeast"/>
        <w:ind w:left="72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 w:hint="eastAsia"/>
          <w:color w:val="000000"/>
          <w:sz w:val="21"/>
          <w:szCs w:val="21"/>
        </w:rPr>
        <w:t>附件</w:t>
      </w:r>
      <w:r w:rsidR="001B69E4">
        <w:rPr>
          <w:rFonts w:asciiTheme="minorEastAsia" w:eastAsiaTheme="minorEastAsia" w:hAnsiTheme="minorEastAsia" w:cs="Arial" w:hint="eastAsia"/>
          <w:color w:val="000000"/>
          <w:sz w:val="21"/>
          <w:szCs w:val="21"/>
        </w:rPr>
        <w:t>4</w:t>
      </w:r>
      <w:r w:rsidRPr="00AB7CC6">
        <w:rPr>
          <w:rFonts w:asciiTheme="minorEastAsia" w:eastAsiaTheme="minorEastAsia" w:hAnsiTheme="minorEastAsia" w:cs="Arial" w:hint="eastAsia"/>
          <w:color w:val="000000"/>
          <w:sz w:val="21"/>
          <w:szCs w:val="21"/>
        </w:rPr>
        <w:t>：</w:t>
      </w:r>
    </w:p>
    <w:p w:rsid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jc w:val="center"/>
        <w:rPr>
          <w:rFonts w:asciiTheme="minorEastAsia" w:eastAsiaTheme="minorEastAsia" w:hAnsiTheme="minorEastAsia" w:cs="Arial"/>
          <w:color w:val="666666"/>
          <w:sz w:val="21"/>
          <w:szCs w:val="21"/>
        </w:rPr>
      </w:pP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jc w:val="center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Style w:val="a4"/>
          <w:rFonts w:asciiTheme="minorEastAsia" w:eastAsiaTheme="minorEastAsia" w:hAnsiTheme="minorEastAsia" w:cs="Arial"/>
          <w:color w:val="666666"/>
          <w:sz w:val="21"/>
          <w:szCs w:val="21"/>
        </w:rPr>
        <w:t>科研分计算方法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科研成果必须与所学专业或与本院学科相关；作者单位必须是湖南大学或湖南大学教育科学研究院。同篇论文分别在不同出版物上发表的，只取其中一种出版物加分。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（1）A1期刊200分，A2期刊80分，A3、SCI、SSCI期刊40分，CSSCI或CSCD源刊20分，北大核心期刊（含CSSCI拓展版）15分，</w:t>
      </w:r>
      <w:r w:rsidRPr="00AB7CC6">
        <w:rPr>
          <w:rStyle w:val="a4"/>
          <w:rFonts w:asciiTheme="minorEastAsia" w:eastAsiaTheme="minorEastAsia" w:hAnsiTheme="minorEastAsia" w:cs="Arial"/>
          <w:color w:val="666666"/>
          <w:sz w:val="21"/>
          <w:szCs w:val="21"/>
        </w:rPr>
        <w:t>CNKI源刊3分</w:t>
      </w: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；国际学术会议论文集5分，全国性学术会议论文集3分，省级学术会议论文集2分，学院学术会议论文集1分。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科研计分以现刊为准，采用通知稿和样刊一律不计分；翻译类论文以及字数少于1千字的论文按同级别刊物减半计分；CNKI源刊及论文集的论文累计总分不超过10分。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Style w:val="a4"/>
          <w:rFonts w:asciiTheme="minorEastAsia" w:eastAsiaTheme="minorEastAsia" w:hAnsiTheme="minorEastAsia" w:cs="Arial"/>
          <w:color w:val="666666"/>
          <w:sz w:val="21"/>
          <w:szCs w:val="21"/>
        </w:rPr>
        <w:t>（2）论文收录情况（可与上述累积计分）：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1）《新华文摘》收录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全文收录 30分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摘要收录 20分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条目收录 5分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2）《人大复印资料》、《高校文科学报文摘》、《中国社会科学文摘》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全文收录 20分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摘要收录 5分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（3）合作论文计分方法：与导师或本院老师合作论文，第一作者80%，第二作者50%，第三作者10%；与院外他人合作论文，第一作者70%，第二作者20%，第三作者10%；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（</w:t>
      </w:r>
      <w:r w:rsidRPr="00AB7CC6">
        <w:rPr>
          <w:rStyle w:val="a4"/>
          <w:rFonts w:asciiTheme="minorEastAsia" w:eastAsiaTheme="minorEastAsia" w:hAnsiTheme="minorEastAsia" w:cs="Arial"/>
          <w:color w:val="666666"/>
          <w:sz w:val="21"/>
          <w:szCs w:val="21"/>
        </w:rPr>
        <w:t>4）学术专著12分/每万字；编著、工具书8分/每万字；译著2分/每万字。</w:t>
      </w:r>
    </w:p>
    <w:p w:rsidR="00AB7CC6" w:rsidRPr="00AB7CC6" w:rsidRDefault="00AB7CC6" w:rsidP="00AB7CC6">
      <w:pPr>
        <w:pStyle w:val="a3"/>
        <w:shd w:val="clear" w:color="auto" w:fill="FFFFFF"/>
        <w:spacing w:line="435" w:lineRule="atLeast"/>
        <w:ind w:left="720" w:firstLine="480"/>
        <w:rPr>
          <w:rFonts w:asciiTheme="minorEastAsia" w:eastAsiaTheme="minorEastAsia" w:hAnsiTheme="minorEastAsia" w:cs="Arial"/>
          <w:color w:val="666666"/>
          <w:sz w:val="21"/>
          <w:szCs w:val="21"/>
        </w:rPr>
      </w:pPr>
      <w:r w:rsidRPr="00AB7CC6">
        <w:rPr>
          <w:rFonts w:asciiTheme="minorEastAsia" w:eastAsiaTheme="minorEastAsia" w:hAnsiTheme="minorEastAsia" w:cs="Arial"/>
          <w:color w:val="666666"/>
          <w:sz w:val="21"/>
          <w:szCs w:val="21"/>
        </w:rPr>
        <w:t>（5）论文、专著等成果获奖（部省级以上），经评审委员会讨论后，酌情予以加分。</w:t>
      </w:r>
    </w:p>
    <w:p w:rsidR="00734F9D" w:rsidRPr="00AB7CC6" w:rsidRDefault="00734F9D">
      <w:pPr>
        <w:rPr>
          <w:rFonts w:asciiTheme="minorEastAsia" w:hAnsiTheme="minorEastAsia"/>
          <w:szCs w:val="21"/>
        </w:rPr>
      </w:pPr>
    </w:p>
    <w:sectPr w:rsidR="00734F9D" w:rsidRPr="00AB7CC6" w:rsidSect="00734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7754"/>
    <w:rsid w:val="001B69E4"/>
    <w:rsid w:val="001F1F5D"/>
    <w:rsid w:val="00734F9D"/>
    <w:rsid w:val="00AB7CC6"/>
    <w:rsid w:val="00C17754"/>
    <w:rsid w:val="00E3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75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1775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1775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77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0416">
          <w:marLeft w:val="0"/>
          <w:marRight w:val="0"/>
          <w:marTop w:val="136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0894">
              <w:marLeft w:val="0"/>
              <w:marRight w:val="543"/>
              <w:marTop w:val="272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12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7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5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3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92857">
          <w:marLeft w:val="0"/>
          <w:marRight w:val="0"/>
          <w:marTop w:val="167"/>
          <w:marBottom w:val="5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92971">
              <w:marLeft w:val="0"/>
              <w:marRight w:val="670"/>
              <w:marTop w:val="335"/>
              <w:marBottom w:val="7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5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97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2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2018-10-31T00:50:00Z</dcterms:created>
  <dcterms:modified xsi:type="dcterms:W3CDTF">2020-11-02T09:23:00Z</dcterms:modified>
</cp:coreProperties>
</file>